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607</w:t>
      </w:r>
    </w:p>
    <w:p>
      <w:r>
        <w:t>Bundesgericht (BGE), 2007-09-19, DE</w:t>
      </w:r>
    </w:p>
    <w:p>
      <w:r>
        <w:rPr>
          <w:b/>
        </w:rPr>
        <w:t xml:space="preserve">Quelle: </w:t>
      </w:r>
      <w:r>
        <w:t>https://mcp.opencaselaw.ch/entscheid/bge_133 V 607</w:t>
      </w:r>
    </w:p>
    <w:p>
      <w:r>
        <w:t>FR: ATF 133 V 607</w:t>
      </w:r>
    </w:p>
    <w:p>
      <w:r>
        <w:t>IT: DTF 133 V 607</w:t>
      </w:r>
    </w:p>
    <w:p>
      <w:pPr>
        <w:pStyle w:val="Heading2"/>
      </w:pPr>
      <w:r>
        <w:t>Regeste</w:t>
      </w:r>
    </w:p>
    <w:p>
      <w:r>
        <w:t>Regeste Art. 23 Abs. 1 FZG (in der bis 31. Dezember 2004 in Kraft gewesenen Fassung); Anspruch auf freie Stiftungsmittel bei unfreiwilliger Auflösung des Arbeitsvertrages. Die bei der Verteilung der freien Stiftungsmittel nach BGE 128 II 394 zu beachtenden Grundsätze gelten nicht nur bei Teil- oder Gesamtliquidationen, sondern allgemein bei Ausschüttungen (E. 4.2.3). Anwendung dieses Grundsatzes auf den Fall von während einer Übergangsfrist ausgeschütteten transition benefits (E. 4.3).</w:t>
      </w:r>
    </w:p>
    <w:p>
      <w:pPr>
        <w:pStyle w:val="Heading2"/>
      </w:pPr>
      <w:r>
        <w:t>Erwägungen</w:t>
      </w:r>
    </w:p>
    <w:p>
      <w:r>
        <w:rPr>
          <w:b/>
        </w:rPr>
        <w:t>E. 4.1</w:t>
      </w:r>
    </w:p>
    <w:p>
      <w:r>
        <w:t>Das Reglement vom 23. Mai 2002 enthält keine Regelung der übergangsrechtlichen Frage, welchem rechtlichen Schicksal die transition benefits jener Versicherten unterliegen, die während der Übergangsfrist von zwei Jahren (1. Oktober 2002 bis 30. September 2004) BGE 133 V 607 S. 610 aus dem Arbeitsverhältnis mit der Bank X. und damit aus deren Vorsorgeeinrichtung ausscheiden. Es liegt diesbezüglich eine Reglementslücke vor. 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offengelassenen, aber notwendigerweise zu beantwortenden Fragen enthalten (HANS MICHAEL RIEMER, Vorsorge-, Fürsorge- und Sparverträge der beruflichen Vorsorge, in: Innominatverträge, Festgabe zum 60. Geburtstag von Walter René Schluep, Zürich 1988, S. 239; RIEMER/RIEMER- KAFKA, Das Recht der beruflichen Vorsorge in der Schweiz, 2. Aufl., Bern 2006, § 4 Rz. 19 S. 94).</w:t>
      </w:r>
    </w:p>
    <w:p>
      <w:r>
        <w:rPr>
          <w:b/>
        </w:rPr>
        <w:t>E. 4.2</w:t>
      </w:r>
    </w:p>
    <w:p>
      <w:r>
        <w:t>Die im vorliegenden Fall im Zuge der Umstellung vom Leistungs- auf das Beitragsprimat den Versicherten ausgerichteten transition benefits wurden aus den freien Stiftungsmitteln finanziert. Eine gesetzliche Regelung der freien Stiftungsmittel wurde erst mit dem am 1. Januar 1995 in Kraft getretenen Bundesgesetz vom 17. Dezember 1993 über die Freizügigkeit in der beruflichen Alters-, Hinterlassenen- und Invalidenvorsorge (Freizügigkeitsgesetz, FZG; SR 831.42) getroffen. Nach Art. 23 Abs. 1 FZG (in der bis 31. Dezember 2004 in Kraft gewesenen Fassung) besteht bei einer Teil- oder Gesamtliquidation neben dem Anspruch auf die Austrittsleistung ein individueller oder kollektiver Anspruch auf freie Mittel (Satz 1). Die Aufsichtsbehörde entscheidet darüber, ob die Voraussetzungen für eine Teil- oder Gesamtliquidation erfüllt sind (Satz 2). Sie genehmigt den Verteilungsplan (Satz 3).</w:t>
      </w:r>
    </w:p>
    <w:p>
      <w:r>
        <w:rPr>
          <w:b/>
        </w:rPr>
        <w:t>E. 4.2.1</w:t>
      </w:r>
    </w:p>
    <w:p>
      <w:r>
        <w:t>Diese für den Fall der Teil- oder Gesamtliquidation einer Vorsorgeeinrichtung seit 1. Januar 1995 geltende gesetzliche Regelung beruht auf den beiden schon vorher von der Rechtsprechung aus dem Grundsatz von Treu und Glauben ( Art. 2 Abs. 1 ZGB ) und der Rechtsgleichheit ( Art. 8 Abs. 1 BV / Art. 4 aBV ) abgeleiteten stiftungsrechtlichen Grundsätzen, dass das Personalvorsorgevermögen - bei grösseren Personalabgängen - den bisherigen Destinatären folgt und die Vorsorgeeinrichtungen zur Gleichbehandlung verschiedener Destinatärsgruppen verpflichtet sind. Namentlich entspricht es dem stiftungsrechtlichen Gleichbehandlungsgrundsatz, dass die geäufneten freien Mittel - soweit wie möglich und BGE 133 V 607 S. 611 nötig - unabhängig von der Organisationsform der Vorsorgeeinrichtung periodisch umgesetzt, d.h. für jene Versicherten (aktive und passive) verwendet werden, die an deren Äufnung beteiligt waren.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 BGE 128 II 394 E. 3.2 S. 397 mit Hinweisen auf Urteile 2A.539/1997 vom 30. April 1998 und 2A.101/2000 vom 26. November 2001; BGE 119 Ib 46 E. 4c S. 54; BGE 110 II 436 E. 4 S. 434; SZS 1985 S. 200, E. 6, A.519/1984).</w:t>
      </w:r>
    </w:p>
    <w:p>
      <w:r>
        <w:rPr>
          <w:b/>
        </w:rPr>
        <w:t>E. 4.2.2</w:t>
      </w:r>
    </w:p>
    <w:p>
      <w:r>
        <w:t>Zugleich hat aber die Rechtsprechung im Zusammenhang mit Teil- oder Gesamtliquidationen wiederholt entschieden, dass es den Grundsatz der Gleichbehandlung der Destinatäre nicht verletzt, wenn bei der Verteilung der freien Stiftungsmittel die freiwillig aus einer Vorsorgeeinrichtung Ausgeschiedenen nicht berücksichtigt werden. Andernfalls hätte es der Mitarbeiter, der freiwillig mehrfach den Arbeitgeber wechselt, in der Hand, jedes Mal beim Ausscheiden aus der jeweiligen Personalvorsorgestiftung Anspruch auf einen Anteil an den freien Mitteln zu erheben, womit die gesetzlichen Bestimmungen über die Freizügigkeit und die entsprechenden reglementarischen Bestimmungen ihren Sinn verlören ( BGE 128 II 394 E. 5.6 S. 403 mit Hinweis auf Urteil 2A.92/1993 vom 22. März 1995).</w:t>
      </w:r>
    </w:p>
    <w:p>
      <w:r>
        <w:rPr>
          <w:b/>
        </w:rPr>
        <w:t>E. 4.2.3</w:t>
      </w:r>
    </w:p>
    <w:p>
      <w:r>
        <w:t>Diese Grundsätze über die Verteilung freier Stiftungsmittel gelten, weil sie auf allgemeinen Rechtsgrundsätzen beruhen, nicht nur im Falle einer Teil- oder Gesamtliquidation einer Vorsorgeeinrichtung, sondern allgemein bei Ausschüttungen, und zwar gerade auch dann, wenn es um Ermessensleistungen aus allein vom Arbeitgeber geäufnetem Vermögen einer Vorsorgeeinrichtung geht und die Destinatäre auf die Leistungen keinen individuellen oder kollektiven Rechtsanspruch, sondern bloss Anwartschaften haben (Urteil 2A.606/2006 vom 18. April 2007, E. 2.1).</w:t>
      </w:r>
    </w:p>
    <w:p>
      <w:r>
        <w:rPr>
          <w:b/>
        </w:rPr>
        <w:t>E. 4.3</w:t>
      </w:r>
    </w:p>
    <w:p>
      <w:r>
        <w:t>Nach Massgabe dieser die Verteilung freier Stiftungsmittel auch ausserhalb einer Teil- oder Gesamtliquidation beherrschenden Rechtsgrundsätze kann es nicht zweifelhaft sein, dass eine Übergangsregelung, mit welcher - wie im vorliegenden Fall - freie BGE 133 V 607 S. 612 Stiftungsmittel während einer zweijährigen Übergangsfrist und in Form von 24 monatlichen transition benefits zeitlich und quantitativ gestaffelt verteilt werden, die stiftungsrechtlichen Grundsätze der Gleichbehandlung der bisherigen Destinatäre und der Personalvorsorgevermögensnachfolge verletzt, wenn von der Arbeitgeberfirma während der Übergangsfrist entlassene Mitarbeiter von der späteren Verteilung pro rata temporis ausgeschlossen werden. Es fehlt jedenfalls bei so langjährigen Mitarbeitern wie dem Beschwerdeführer jeder sachliche Grund, der es rechtfertigen könnte, ihnen die während ihrer Zugehörigkeit zur Vorsorgeeinrichtung geäufneten freien Stiftungsmittel anteilsmässig wieder zu entziehen, wenn sie kurz nach Inkrafttreten des auf zwei Jahre gestaffelten Verteilungsplanes - hier vom 1. Oktober 2002 bis 30. September 2004 - unfreiwillig zufolge Entlassung aus der Vorsorgeeinrichtung ausscheiden müssen. Hätte der Stiftungsrat die Notwendigkeit einer Übergangsregelung für die während der zweijährigen Übergangsfrist aus der Vorsorgeeinrichtung ausscheidenden Versicherten bereits im Mai 2002 bei Erlass des neuen Reglementes erkannt, hätte es seinem hypothetischen Parteiwillen entsprochen, zwischen freiwillig und unfreiwillig ausscheidenden Versicherten zu unterscheiden und nur ersteren die ab Beendigung des Arbeits- und Vorsorgeverhältnisses fällig werdenden transition benefits zu verweigern. Damit hätte er eine Unterscheidung getroffen, welche der Stiftungsrat im Rahmen des ihm bei der Verteilung freier Stiftungsmittel zustehenden Ermessens notwendigerweise zu treffen hat. Denn die dargelegten, die Verteilung von freien Stiftungsmitteln beherrschenden Rechtsgrundsätze haben gerade den Schutz der unfreiwillig aus der Vorsorgeeinrichtung ausscheidenden Versicherten zum Zweck. Dies erfordert, dass der Stiftungsrat sie im Rahmen einer nach seinem Ermessen zu treffenden Übergangsregelung nicht gleich behandelt wie die freiwillig Ausgeschiedenen.</w:t>
      </w:r>
    </w:p>
    <w:p>
      <w:r>
        <w:rPr>
          <w:b/>
        </w:rPr>
        <w:t>E. 4.4</w:t>
      </w:r>
    </w:p>
    <w:p>
      <w:r>
        <w:t>Zusammenfassend hat demgemäss die richterliche Füllung der im Reglement vom 23. Mai 2002 vorhandenen übergangsrechtlichen Regelungslücke betreffend die während der zweijährigen Übergangsfrist fällig gewordenen transition benefits dahingehend zu erfolgen, dass den in der Zeit vom 1. Oktober 2002 bis 30. September 2004 unfreiwillig aus der PK Y. ausgeschiedenen Versicherten die nach der Beendigung des Vorsorgeverhältnisses fällig gewordenen monatlichen transition benefits zustehen, den freiwillig Ausgeschiedenen dagegen nicht. Der Beschwerdeführer hat daher BGE 133 V 607 S. 613 Anspruch auf alle in der Zeit vom 1. März 2003 bis 30. September 2004 fällig gewordenen transition benefits. Das sind 19 Monatsbetreffnisse à Fr. 15'510.- oder gesamthaft Fr. 294'690.-.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